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E3F" w:rsidRPr="001C595C" w:rsidRDefault="00DF5B9E">
      <w:pPr>
        <w:spacing w:beforeLines="50" w:before="156" w:afterLines="50" w:after="156"/>
        <w:jc w:val="center"/>
        <w:rPr>
          <w:rFonts w:asciiTheme="minorEastAsia" w:eastAsiaTheme="minorEastAsia" w:hAnsiTheme="minorEastAsia"/>
          <w:b/>
          <w:sz w:val="28"/>
          <w:szCs w:val="24"/>
        </w:rPr>
      </w:pPr>
      <w:r w:rsidRPr="001C595C">
        <w:rPr>
          <w:rFonts w:asciiTheme="minorEastAsia" w:eastAsiaTheme="minorEastAsia" w:hAnsiTheme="minorEastAsia" w:hint="eastAsia"/>
          <w:b/>
          <w:sz w:val="28"/>
          <w:szCs w:val="24"/>
        </w:rPr>
        <w:t>东江环保股份有限公司投资者关系活动记录表</w:t>
      </w:r>
    </w:p>
    <w:p w:rsidR="004C4E3F" w:rsidRPr="001C595C" w:rsidRDefault="00DF5B9E">
      <w:pPr>
        <w:rPr>
          <w:rFonts w:asciiTheme="minorEastAsia" w:eastAsiaTheme="minorEastAsia" w:hAnsiTheme="minorEastAsia"/>
          <w:sz w:val="24"/>
          <w:szCs w:val="24"/>
        </w:rPr>
      </w:pPr>
      <w:r w:rsidRPr="001C595C">
        <w:rPr>
          <w:rFonts w:asciiTheme="minorEastAsia" w:eastAsiaTheme="minorEastAsia" w:hAnsiTheme="minorEastAsia" w:hint="eastAsia"/>
          <w:sz w:val="24"/>
          <w:szCs w:val="24"/>
        </w:rPr>
        <w:t xml:space="preserve">                                                      编号：2020-</w:t>
      </w:r>
      <w:r w:rsidRPr="001C595C">
        <w:rPr>
          <w:rFonts w:asciiTheme="minorEastAsia" w:eastAsiaTheme="minorEastAsia" w:hAnsiTheme="minorEastAsia"/>
          <w:sz w:val="24"/>
          <w:szCs w:val="24"/>
        </w:rPr>
        <w:t>0</w:t>
      </w:r>
      <w:r w:rsidRPr="001C595C">
        <w:rPr>
          <w:rFonts w:asciiTheme="minorEastAsia" w:eastAsiaTheme="minorEastAsia" w:hAnsiTheme="minorEastAsia" w:hint="eastAsia"/>
          <w:sz w:val="24"/>
          <w:szCs w:val="24"/>
        </w:rPr>
        <w:t>1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7087"/>
      </w:tblGrid>
      <w:tr w:rsidR="004C4E3F" w:rsidRPr="001C595C">
        <w:tc>
          <w:tcPr>
            <w:tcW w:w="1668" w:type="dxa"/>
          </w:tcPr>
          <w:p w:rsidR="004C4E3F" w:rsidRPr="001C595C" w:rsidRDefault="00DF5B9E">
            <w:pPr>
              <w:rPr>
                <w:rFonts w:asciiTheme="minorEastAsia" w:eastAsiaTheme="minorEastAsia" w:hAnsiTheme="minorEastAsia"/>
                <w:b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b/>
                <w:sz w:val="28"/>
                <w:szCs w:val="24"/>
              </w:rPr>
              <w:t>投资者关系活动类别</w:t>
            </w:r>
          </w:p>
        </w:tc>
        <w:tc>
          <w:tcPr>
            <w:tcW w:w="7087" w:type="dxa"/>
          </w:tcPr>
          <w:p w:rsidR="004C4E3F" w:rsidRPr="001C595C" w:rsidRDefault="00DF5B9E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>√特定对象调研            □分析师会议</w:t>
            </w:r>
          </w:p>
          <w:p w:rsidR="004C4E3F" w:rsidRPr="001C595C" w:rsidRDefault="00DF5B9E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>□媒体采访                □业绩说明会</w:t>
            </w:r>
          </w:p>
          <w:p w:rsidR="004C4E3F" w:rsidRPr="001C595C" w:rsidRDefault="00DF5B9E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>□新闻发布会              □路演活动</w:t>
            </w:r>
          </w:p>
          <w:p w:rsidR="004C4E3F" w:rsidRPr="001C595C" w:rsidRDefault="00DF5B9E">
            <w:pPr>
              <w:tabs>
                <w:tab w:val="left" w:pos="2685"/>
                <w:tab w:val="center" w:pos="3199"/>
              </w:tabs>
              <w:ind w:firstLineChars="100" w:firstLine="280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 xml:space="preserve">□现场参观                其他 </w:t>
            </w: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 xml:space="preserve">          </w:t>
            </w:r>
          </w:p>
        </w:tc>
      </w:tr>
      <w:tr w:rsidR="004C4E3F" w:rsidRPr="001C595C">
        <w:trPr>
          <w:trHeight w:val="910"/>
        </w:trPr>
        <w:tc>
          <w:tcPr>
            <w:tcW w:w="1668" w:type="dxa"/>
          </w:tcPr>
          <w:p w:rsidR="004C4E3F" w:rsidRPr="001C595C" w:rsidRDefault="00DF5B9E">
            <w:pPr>
              <w:rPr>
                <w:rFonts w:asciiTheme="minorEastAsia" w:eastAsiaTheme="minorEastAsia" w:hAnsiTheme="minorEastAsia"/>
                <w:b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b/>
                <w:sz w:val="28"/>
                <w:szCs w:val="24"/>
              </w:rPr>
              <w:t>参与单位名称及人员姓名</w:t>
            </w:r>
          </w:p>
        </w:tc>
        <w:tc>
          <w:tcPr>
            <w:tcW w:w="7087" w:type="dxa"/>
          </w:tcPr>
          <w:p w:rsidR="004C4E3F" w:rsidRPr="001C595C" w:rsidRDefault="00DF5B9E" w:rsidP="00EC32FC">
            <w:pPr>
              <w:rPr>
                <w:rFonts w:asciiTheme="minorEastAsia" w:eastAsiaTheme="minorEastAsia" w:hAnsiTheme="minorEastAsia"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>广发</w:t>
            </w:r>
            <w:r w:rsidRPr="001C595C">
              <w:rPr>
                <w:rFonts w:asciiTheme="minorEastAsia" w:eastAsiaTheme="minorEastAsia" w:hAnsiTheme="minorEastAsia"/>
                <w:sz w:val="28"/>
                <w:szCs w:val="24"/>
              </w:rPr>
              <w:t>基金</w:t>
            </w:r>
          </w:p>
        </w:tc>
      </w:tr>
      <w:tr w:rsidR="004C4E3F" w:rsidRPr="001C595C">
        <w:tc>
          <w:tcPr>
            <w:tcW w:w="1668" w:type="dxa"/>
          </w:tcPr>
          <w:p w:rsidR="004C4E3F" w:rsidRPr="001C595C" w:rsidRDefault="00DF5B9E">
            <w:pPr>
              <w:rPr>
                <w:rFonts w:asciiTheme="minorEastAsia" w:eastAsiaTheme="minorEastAsia" w:hAnsiTheme="minorEastAsia"/>
                <w:b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b/>
                <w:sz w:val="28"/>
                <w:szCs w:val="24"/>
              </w:rPr>
              <w:t>时间</w:t>
            </w:r>
          </w:p>
        </w:tc>
        <w:tc>
          <w:tcPr>
            <w:tcW w:w="7087" w:type="dxa"/>
          </w:tcPr>
          <w:p w:rsidR="004C4E3F" w:rsidRPr="001C595C" w:rsidRDefault="00DF5B9E">
            <w:pPr>
              <w:rPr>
                <w:rFonts w:asciiTheme="minorEastAsia" w:eastAsiaTheme="minorEastAsia" w:hAnsiTheme="minorEastAsia"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>2020年</w:t>
            </w:r>
            <w:r w:rsidRPr="001C595C">
              <w:rPr>
                <w:rFonts w:asciiTheme="minorEastAsia" w:eastAsiaTheme="minorEastAsia" w:hAnsiTheme="minorEastAsia"/>
                <w:sz w:val="28"/>
                <w:szCs w:val="24"/>
              </w:rPr>
              <w:t>8</w:t>
            </w: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>月</w:t>
            </w:r>
            <w:r w:rsidRPr="001C595C">
              <w:rPr>
                <w:rFonts w:asciiTheme="minorEastAsia" w:eastAsiaTheme="minorEastAsia" w:hAnsiTheme="minorEastAsia"/>
                <w:sz w:val="28"/>
                <w:szCs w:val="24"/>
              </w:rPr>
              <w:t>28</w:t>
            </w: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>日  下午3:</w:t>
            </w:r>
            <w:r w:rsidRPr="001C595C">
              <w:rPr>
                <w:rFonts w:asciiTheme="minorEastAsia" w:eastAsiaTheme="minorEastAsia" w:hAnsiTheme="minorEastAsia"/>
                <w:sz w:val="28"/>
                <w:szCs w:val="24"/>
              </w:rPr>
              <w:t>30</w:t>
            </w: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>-4:</w:t>
            </w:r>
            <w:r w:rsidRPr="001C595C">
              <w:rPr>
                <w:rFonts w:asciiTheme="minorEastAsia" w:eastAsiaTheme="minorEastAsia" w:hAnsiTheme="minorEastAsia"/>
                <w:sz w:val="28"/>
                <w:szCs w:val="24"/>
              </w:rPr>
              <w:t>30</w:t>
            </w:r>
          </w:p>
        </w:tc>
      </w:tr>
      <w:tr w:rsidR="004C4E3F" w:rsidRPr="001C595C">
        <w:tc>
          <w:tcPr>
            <w:tcW w:w="1668" w:type="dxa"/>
          </w:tcPr>
          <w:p w:rsidR="004C4E3F" w:rsidRPr="001C595C" w:rsidRDefault="00DF5B9E">
            <w:pPr>
              <w:rPr>
                <w:rFonts w:asciiTheme="minorEastAsia" w:eastAsiaTheme="minorEastAsia" w:hAnsiTheme="minorEastAsia"/>
                <w:b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b/>
                <w:sz w:val="28"/>
                <w:szCs w:val="24"/>
              </w:rPr>
              <w:t>地点</w:t>
            </w:r>
          </w:p>
        </w:tc>
        <w:tc>
          <w:tcPr>
            <w:tcW w:w="7087" w:type="dxa"/>
          </w:tcPr>
          <w:p w:rsidR="004C4E3F" w:rsidRPr="001C595C" w:rsidRDefault="00DF5B9E">
            <w:pPr>
              <w:rPr>
                <w:rFonts w:asciiTheme="minorEastAsia" w:eastAsiaTheme="minorEastAsia" w:hAnsiTheme="minorEastAsia"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>电话会议</w:t>
            </w:r>
          </w:p>
        </w:tc>
      </w:tr>
      <w:tr w:rsidR="004C4E3F" w:rsidRPr="001C595C">
        <w:trPr>
          <w:trHeight w:val="560"/>
        </w:trPr>
        <w:tc>
          <w:tcPr>
            <w:tcW w:w="1668" w:type="dxa"/>
          </w:tcPr>
          <w:p w:rsidR="004C4E3F" w:rsidRPr="001C595C" w:rsidRDefault="00DF5B9E">
            <w:pPr>
              <w:rPr>
                <w:rFonts w:asciiTheme="minorEastAsia" w:eastAsiaTheme="minorEastAsia" w:hAnsiTheme="minorEastAsia"/>
                <w:b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b/>
                <w:sz w:val="28"/>
                <w:szCs w:val="24"/>
              </w:rPr>
              <w:t>上市公司</w:t>
            </w:r>
          </w:p>
          <w:p w:rsidR="004C4E3F" w:rsidRPr="001C595C" w:rsidRDefault="00DF5B9E">
            <w:pPr>
              <w:rPr>
                <w:rFonts w:asciiTheme="minorEastAsia" w:eastAsiaTheme="minorEastAsia" w:hAnsiTheme="minorEastAsia"/>
                <w:b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b/>
                <w:sz w:val="28"/>
                <w:szCs w:val="24"/>
              </w:rPr>
              <w:t>接待人员姓名</w:t>
            </w:r>
          </w:p>
        </w:tc>
        <w:tc>
          <w:tcPr>
            <w:tcW w:w="7087" w:type="dxa"/>
          </w:tcPr>
          <w:p w:rsidR="004C4E3F" w:rsidRPr="001C595C" w:rsidRDefault="00DF5B9E">
            <w:pPr>
              <w:widowControl/>
              <w:shd w:val="clear" w:color="auto" w:fill="FFFFFF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  <w:r w:rsidRPr="001C595C">
              <w:rPr>
                <w:rFonts w:asciiTheme="minorEastAsia" w:eastAsiaTheme="minorEastAsia" w:hAnsiTheme="minorEastAsia"/>
                <w:sz w:val="28"/>
                <w:szCs w:val="24"/>
              </w:rPr>
              <w:t>副总裁兼董事会秘书</w:t>
            </w:r>
            <w:r w:rsidRPr="001C595C">
              <w:rPr>
                <w:rFonts w:asciiTheme="minorEastAsia" w:eastAsiaTheme="minorEastAsia" w:hAnsiTheme="minorEastAsia" w:cs="Arial" w:hint="eastAsia"/>
                <w:kern w:val="0"/>
                <w:sz w:val="28"/>
                <w:szCs w:val="24"/>
              </w:rPr>
              <w:t>:</w:t>
            </w:r>
            <w:r w:rsidRPr="001C595C">
              <w:rPr>
                <w:rFonts w:asciiTheme="minorEastAsia" w:eastAsiaTheme="minorEastAsia" w:hAnsiTheme="minorEastAsia"/>
                <w:sz w:val="28"/>
                <w:szCs w:val="24"/>
              </w:rPr>
              <w:t>王恬女士</w:t>
            </w:r>
            <w:r w:rsidRPr="001C595C">
              <w:rPr>
                <w:rFonts w:asciiTheme="minorEastAsia" w:eastAsiaTheme="minorEastAsia" w:hAnsiTheme="minorEastAsia" w:hint="eastAsia"/>
                <w:sz w:val="28"/>
                <w:szCs w:val="24"/>
              </w:rPr>
              <w:t>;</w:t>
            </w:r>
          </w:p>
          <w:p w:rsidR="004C4E3F" w:rsidRPr="001C595C" w:rsidRDefault="004C4E3F">
            <w:pPr>
              <w:rPr>
                <w:rFonts w:asciiTheme="minorEastAsia" w:eastAsiaTheme="minorEastAsia" w:hAnsiTheme="minorEastAsia"/>
                <w:sz w:val="28"/>
                <w:szCs w:val="24"/>
              </w:rPr>
            </w:pPr>
          </w:p>
        </w:tc>
      </w:tr>
      <w:tr w:rsidR="004C4E3F" w:rsidRPr="001C595C">
        <w:trPr>
          <w:trHeight w:val="699"/>
        </w:trPr>
        <w:tc>
          <w:tcPr>
            <w:tcW w:w="1668" w:type="dxa"/>
            <w:vAlign w:val="center"/>
          </w:tcPr>
          <w:p w:rsidR="004C4E3F" w:rsidRPr="001C595C" w:rsidRDefault="004C4E3F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  <w:p w:rsidR="004C4E3F" w:rsidRPr="001C595C" w:rsidRDefault="00DF5B9E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投资者关系活动主要内容介绍</w:t>
            </w:r>
          </w:p>
        </w:tc>
        <w:tc>
          <w:tcPr>
            <w:tcW w:w="7087" w:type="dxa"/>
            <w:vAlign w:val="center"/>
          </w:tcPr>
          <w:p w:rsidR="004C4E3F" w:rsidRPr="001C595C" w:rsidRDefault="00DF5B9E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cs="宋体" w:hint="eastAsia"/>
                <w:bCs/>
                <w:kern w:val="0"/>
                <w:sz w:val="24"/>
                <w:szCs w:val="24"/>
              </w:rPr>
              <w:t>主要交流内容如下：</w:t>
            </w:r>
          </w:p>
          <w:p w:rsidR="004C4E3F" w:rsidRPr="001C595C" w:rsidRDefault="00DF5B9E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1.请介绍一下公司下一步的</w:t>
            </w:r>
            <w:r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经营管理方向与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重点。</w:t>
            </w:r>
          </w:p>
          <w:p w:rsidR="004C4E3F" w:rsidRPr="001C595C" w:rsidRDefault="00DF5B9E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答: 公司将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坚持</w:t>
            </w:r>
            <w:proofErr w:type="gramStart"/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聚焦危废主业</w:t>
            </w:r>
            <w:proofErr w:type="gramEnd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，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积极拓展高价危废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（例如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：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高氯高硫废物处理、实验室废物深度处理）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、城市矿产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、工业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环保管家等细分业务，探索废旧汽车拆解回收、动力电池回收等固废处置业务的发展机会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，培育新的盈利增长点。</w:t>
            </w:r>
          </w:p>
          <w:p w:rsidR="004C4E3F" w:rsidRPr="001C595C" w:rsidRDefault="00DF5B9E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目前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公司也在制定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“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十四五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”发展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规划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。未来将以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“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大项目推进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大发展”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为发展主线，提高资本投入，深化布局</w:t>
            </w:r>
            <w:proofErr w:type="gramStart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重点产废区域</w:t>
            </w:r>
            <w:proofErr w:type="gramEnd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、大型</w:t>
            </w:r>
            <w:proofErr w:type="gramStart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产废企业</w:t>
            </w:r>
            <w:proofErr w:type="gramEnd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和其他固废领域，通过自建、收购、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与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国有企业、水泥、钢铁等企业合作协同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的方式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，升级项目体量，优化资质结构，积极打造国内领先、国际一流的危险废物综合利用处置示范项目，实现高质量发展。</w:t>
            </w:r>
          </w:p>
          <w:p w:rsidR="004C4E3F" w:rsidRPr="001C595C" w:rsidRDefault="00DF5B9E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</w:p>
          <w:p w:rsidR="004C4E3F" w:rsidRPr="001C595C" w:rsidRDefault="00DF5B9E" w:rsidP="00237967">
            <w:pPr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2.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请介绍</w:t>
            </w:r>
            <w:r w:rsidR="00D76DE9"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下</w:t>
            </w:r>
            <w:r w:rsidR="00D76DE9"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控股股东与</w:t>
            </w:r>
            <w:r w:rsidR="00D76DE9"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第二</w:t>
            </w:r>
            <w:r w:rsidR="00D76DE9"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大股东</w:t>
            </w:r>
            <w:r w:rsidR="00D76DE9"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对公司</w:t>
            </w:r>
            <w:r w:rsidR="00D76DE9"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的支持情况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。</w:t>
            </w:r>
          </w:p>
          <w:p w:rsidR="004C4E3F" w:rsidRPr="001C595C" w:rsidRDefault="004C4E3F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80CC4" w:rsidRPr="00880CC4" w:rsidRDefault="00DF5B9E" w:rsidP="00880CC4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答:</w:t>
            </w:r>
            <w:r w:rsidR="00880CC4">
              <w:rPr>
                <w:rFonts w:hint="eastAsia"/>
              </w:rPr>
              <w:t xml:space="preserve"> </w:t>
            </w:r>
            <w:r w:rsidR="00880CC4"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为落实生态文明建设的总体布局，国有企业肩负着打好污染防治攻坚战、</w:t>
            </w:r>
            <w:proofErr w:type="gramStart"/>
            <w:r w:rsidR="00880CC4"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践行</w:t>
            </w:r>
            <w:proofErr w:type="gramEnd"/>
            <w:r w:rsidR="00880CC4"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绿色发展的重要责任。</w:t>
            </w:r>
          </w:p>
          <w:p w:rsidR="00880CC4" w:rsidRPr="00880CC4" w:rsidRDefault="00880CC4" w:rsidP="00880CC4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广东省委、省政府高度重视环境整治工作，要求广</w:t>
            </w:r>
            <w:proofErr w:type="gramStart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晟</w:t>
            </w:r>
            <w:proofErr w:type="gramEnd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公司在全省打好污染防治攻坚战中发挥骨干作用。东江环保是广</w:t>
            </w:r>
            <w:proofErr w:type="gramStart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晟</w:t>
            </w:r>
            <w:proofErr w:type="gramEnd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公司乃至广东省省属国企中唯一的环保上市平台，广</w:t>
            </w:r>
            <w:proofErr w:type="gramStart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晟</w:t>
            </w:r>
            <w:proofErr w:type="gramEnd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公司从资金上、资源上、项目上全方位支持东江环保，自广</w:t>
            </w:r>
            <w:proofErr w:type="gramStart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晟</w:t>
            </w:r>
            <w:proofErr w:type="gramEnd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公司控股以来，东江环保采用多种融资手段进一步优化了资本结构，先后收购或开发了唐山曹妃</w:t>
            </w:r>
            <w:proofErr w:type="gramStart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甸</w:t>
            </w:r>
            <w:proofErr w:type="gramEnd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、佛山富龙、东莞丰业、绵阳东江、揭阳大南海、珠海东江等多个项目，形成丰富的项目储备。在广</w:t>
            </w:r>
            <w:proofErr w:type="gramStart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晟</w:t>
            </w:r>
            <w:proofErr w:type="gramEnd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公司大力支持下，公司正朝着综合环境治理服务提供</w:t>
            </w:r>
            <w:proofErr w:type="gramStart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商方向</w:t>
            </w:r>
            <w:proofErr w:type="gramEnd"/>
            <w:r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发展。</w:t>
            </w:r>
          </w:p>
          <w:p w:rsidR="004C4E3F" w:rsidRPr="001C595C" w:rsidRDefault="00AA645C" w:rsidP="00880CC4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A645C">
              <w:rPr>
                <w:rFonts w:asciiTheme="minorEastAsia" w:eastAsiaTheme="minorEastAsia" w:hAnsiTheme="minorEastAsia" w:hint="eastAsia"/>
                <w:sz w:val="24"/>
                <w:szCs w:val="24"/>
              </w:rPr>
              <w:t>公司第二大股东汇鸿集团是江苏省省属大型国有上市公司，也将全力支持公司做</w:t>
            </w:r>
            <w:proofErr w:type="gramStart"/>
            <w:r w:rsidRPr="00AA645C">
              <w:rPr>
                <w:rFonts w:asciiTheme="minorEastAsia" w:eastAsiaTheme="minorEastAsia" w:hAnsiTheme="minorEastAsia" w:hint="eastAsia"/>
                <w:sz w:val="24"/>
                <w:szCs w:val="24"/>
              </w:rPr>
              <w:t>强做</w:t>
            </w:r>
            <w:proofErr w:type="gramEnd"/>
            <w:r w:rsidRPr="00AA645C">
              <w:rPr>
                <w:rFonts w:asciiTheme="minorEastAsia" w:eastAsiaTheme="minorEastAsia" w:hAnsiTheme="minorEastAsia" w:hint="eastAsia"/>
                <w:sz w:val="24"/>
                <w:szCs w:val="24"/>
              </w:rPr>
              <w:t>优做大，特别是发挥其区域、资源等领先优势，依托东江环保的建设、运营和技术等核心优势，推动东江环保深化江苏乃至长三角地区的市场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布局，加强与当地政府、企业间的合作，开拓优质环保项目及市场份额</w:t>
            </w:r>
            <w:r w:rsidR="00880CC4" w:rsidRPr="00880CC4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  <w:r w:rsidR="00880CC4" w:rsidRPr="001C595C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</w:p>
          <w:p w:rsidR="004C4E3F" w:rsidRPr="001C595C" w:rsidRDefault="00DF5B9E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3</w:t>
            </w:r>
            <w:r w:rsidRPr="001C595C">
              <w:rPr>
                <w:rFonts w:asciiTheme="minorEastAsia" w:eastAsiaTheme="minorEastAsia" w:hAnsiTheme="minorEastAsia" w:cs="宋体" w:hint="eastAsia"/>
                <w:bCs/>
                <w:kern w:val="0"/>
                <w:sz w:val="24"/>
                <w:szCs w:val="24"/>
              </w:rPr>
              <w:t>.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请</w:t>
            </w:r>
            <w:r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介绍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公司的</w:t>
            </w:r>
            <w:r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行业优势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。</w:t>
            </w:r>
          </w:p>
          <w:p w:rsidR="004C4E3F" w:rsidRPr="001C595C" w:rsidRDefault="00DF5B9E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答:</w:t>
            </w:r>
            <w:r w:rsidRPr="001C595C">
              <w:rPr>
                <w:rFonts w:asciiTheme="minorEastAsia" w:eastAsiaTheme="minorEastAsia" w:hAnsiTheme="minorEastAsia"/>
                <w:color w:val="333333"/>
                <w:sz w:val="24"/>
                <w:szCs w:val="24"/>
              </w:rPr>
              <w:t xml:space="preserve"> </w:t>
            </w:r>
            <w:r w:rsidRPr="001C595C">
              <w:rPr>
                <w:rFonts w:asciiTheme="minorEastAsia" w:eastAsiaTheme="minorEastAsia" w:hAnsiTheme="minorEastAsia" w:hint="eastAsia"/>
                <w:color w:val="333333"/>
                <w:sz w:val="24"/>
                <w:szCs w:val="24"/>
              </w:rPr>
              <w:t>自成立以来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，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公司始终坚持</w:t>
            </w:r>
            <w:proofErr w:type="gramStart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发展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危废主业</w:t>
            </w:r>
            <w:proofErr w:type="gramEnd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，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以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技术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创新为导向，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以</w:t>
            </w:r>
            <w:proofErr w:type="gramStart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打造危废为</w:t>
            </w:r>
            <w:proofErr w:type="gramEnd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基础的一站式综合环保服务提供商为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目标，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逐步夯实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了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四大核心优势。</w:t>
            </w:r>
          </w:p>
          <w:p w:rsidR="004C4E3F" w:rsidRPr="001C595C" w:rsidRDefault="00DF5B9E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一是国有企业优势。凭借国有控股背景，有助于公司顺利开展对外融资、项目开发、市场拓展、强化政企关系和产学研合作等重要工作；</w:t>
            </w:r>
          </w:p>
          <w:p w:rsidR="004C4E3F" w:rsidRPr="001C595C" w:rsidRDefault="00DF5B9E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二是上市公司平台优势。</w:t>
            </w:r>
            <w:proofErr w:type="gramStart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危废处理</w:t>
            </w:r>
            <w:proofErr w:type="gramEnd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处置是重资产行业，前期资金投入大，回收周期长，A+H上市平台为公司发展提供了良好的融资渠道，确保公司有充足的资金满足项目投资、建设和运营的需求；</w:t>
            </w:r>
          </w:p>
          <w:p w:rsidR="004C4E3F" w:rsidRPr="001C595C" w:rsidRDefault="00DF5B9E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三是市场规模优势。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我国</w:t>
            </w:r>
            <w:proofErr w:type="gramStart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危废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处理</w:t>
            </w:r>
            <w:proofErr w:type="gramEnd"/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行业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起步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较晚，行业集中度较低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，大多数企业处理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资质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单一，且无害化资质短缺。相比之下，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公司目前具备44类危险废物经营资质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，</w:t>
            </w:r>
            <w:proofErr w:type="gramStart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危废处理</w:t>
            </w:r>
            <w:proofErr w:type="gramEnd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处置资质总量超过190万吨/年，处于行业龙头地位，目前已经布局粤港澳大湾区、长三角、京津冀与环渤海等多个</w:t>
            </w:r>
            <w:proofErr w:type="gramStart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核心危废市场</w:t>
            </w:r>
            <w:proofErr w:type="gramEnd"/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，近年来更是着力加快了无害化资质能力的建设，区域规模效应和协同效应优势更加明显；</w:t>
            </w:r>
          </w:p>
          <w:p w:rsidR="004C4E3F" w:rsidRPr="001C595C" w:rsidRDefault="00DF5B9E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四是运营管理优势。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资质错配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、产能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利用率较低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是当前的行业共性问题。公司具备先进的技术工艺，积累了丰富的运营管理经验，这是优化资质结构和提高资质利用率的关键，保证了公司的资质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利用率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处于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行业领先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地位，未来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公司将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继续改进优化技术、工艺和设备，进一步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提高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产能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利用率。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</w:p>
          <w:p w:rsidR="004C4E3F" w:rsidRPr="001C595C" w:rsidRDefault="00DF5B9E">
            <w:pPr>
              <w:widowControl/>
              <w:shd w:val="clear" w:color="auto" w:fill="FFFFFF"/>
              <w:spacing w:before="100" w:beforeAutospacing="1" w:after="100" w:afterAutospacing="1"/>
              <w:ind w:firstLineChars="200" w:firstLine="482"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4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.公司</w:t>
            </w:r>
            <w:r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是如何看待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人才对企业发展的作用，</w:t>
            </w:r>
            <w:r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以及公司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是</w:t>
            </w:r>
            <w:r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如何吸引和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培养</w:t>
            </w:r>
            <w:r w:rsidRPr="001C595C"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  <w:szCs w:val="24"/>
              </w:rPr>
              <w:t>人才</w:t>
            </w:r>
            <w:r w:rsidRPr="001C595C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？</w:t>
            </w:r>
          </w:p>
          <w:p w:rsidR="004C4E3F" w:rsidRPr="001C595C" w:rsidRDefault="00DF5B9E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答:公司非常重视人才的培养与积累。经过二十年的发展，公司已建立专业培训、职称晋升、岗位竞聘和轮换等完善成熟的人才发展体系，培养储备了一大批行业优秀人才。</w:t>
            </w:r>
          </w:p>
          <w:p w:rsidR="004C4E3F" w:rsidRPr="001C595C" w:rsidRDefault="00DF5B9E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未来，公司作为广东省国资委的“激励、容错、约束”机制试点单位，将继续不遗余力培养和吸引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人才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骨干，积极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探索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以战略、市场、业绩</w:t>
            </w:r>
            <w:r w:rsidRPr="001C595C">
              <w:rPr>
                <w:rFonts w:asciiTheme="minorEastAsia" w:eastAsiaTheme="minorEastAsia" w:hAnsiTheme="minorEastAsia"/>
                <w:sz w:val="24"/>
                <w:szCs w:val="24"/>
              </w:rPr>
              <w:t>为导向的中长期股权激励机制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，建立健全具有市场竞争力的评价、考核和薪酬体系。</w:t>
            </w:r>
          </w:p>
        </w:tc>
      </w:tr>
      <w:tr w:rsidR="004C4E3F" w:rsidRPr="001C595C">
        <w:tc>
          <w:tcPr>
            <w:tcW w:w="1668" w:type="dxa"/>
            <w:vAlign w:val="center"/>
          </w:tcPr>
          <w:p w:rsidR="004C4E3F" w:rsidRPr="001C595C" w:rsidRDefault="00DF5B9E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lastRenderedPageBreak/>
              <w:t>附件清单</w:t>
            </w:r>
          </w:p>
          <w:p w:rsidR="004C4E3F" w:rsidRPr="001C595C" w:rsidRDefault="00DF5B9E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（如有）</w:t>
            </w:r>
          </w:p>
        </w:tc>
        <w:tc>
          <w:tcPr>
            <w:tcW w:w="7087" w:type="dxa"/>
          </w:tcPr>
          <w:p w:rsidR="004C4E3F" w:rsidRPr="001C595C" w:rsidRDefault="00DF5B9E">
            <w:pP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无</w:t>
            </w:r>
          </w:p>
        </w:tc>
      </w:tr>
      <w:tr w:rsidR="004C4E3F" w:rsidRPr="001C595C">
        <w:tc>
          <w:tcPr>
            <w:tcW w:w="1668" w:type="dxa"/>
            <w:vAlign w:val="center"/>
          </w:tcPr>
          <w:p w:rsidR="004C4E3F" w:rsidRPr="001C595C" w:rsidRDefault="00DF5B9E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日期</w:t>
            </w:r>
          </w:p>
        </w:tc>
        <w:tc>
          <w:tcPr>
            <w:tcW w:w="7087" w:type="dxa"/>
          </w:tcPr>
          <w:p w:rsidR="004C4E3F" w:rsidRPr="001C595C" w:rsidRDefault="00DF5B9E">
            <w:pP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2020年月</w:t>
            </w:r>
            <w:r w:rsidR="00BB659C"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9</w:t>
            </w:r>
            <w:r w:rsidRPr="001C595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</w:tbl>
    <w:p w:rsidR="004C4E3F" w:rsidRPr="001C595C" w:rsidRDefault="004C4E3F">
      <w:pPr>
        <w:rPr>
          <w:rFonts w:asciiTheme="minorEastAsia" w:eastAsiaTheme="minorEastAsia" w:hAnsiTheme="minorEastAsia"/>
          <w:sz w:val="24"/>
          <w:szCs w:val="24"/>
        </w:rPr>
      </w:pPr>
    </w:p>
    <w:sectPr w:rsidR="004C4E3F" w:rsidRPr="001C595C">
      <w:headerReference w:type="default" r:id="rId8"/>
      <w:footerReference w:type="default" r:id="rId9"/>
      <w:pgSz w:w="11906" w:h="16838"/>
      <w:pgMar w:top="1247" w:right="1797" w:bottom="1247" w:left="1797" w:header="851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A81" w:rsidRDefault="009B6A81">
      <w:r>
        <w:separator/>
      </w:r>
    </w:p>
  </w:endnote>
  <w:endnote w:type="continuationSeparator" w:id="0">
    <w:p w:rsidR="009B6A81" w:rsidRDefault="009B6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E3F" w:rsidRDefault="00DF5B9E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37967" w:rsidRPr="00237967">
      <w:rPr>
        <w:noProof/>
        <w:lang w:val="zh-CN"/>
      </w:rPr>
      <w:t>3</w:t>
    </w:r>
    <w:r>
      <w:rPr>
        <w:lang w:val="zh-CN"/>
      </w:rPr>
      <w:fldChar w:fldCharType="end"/>
    </w:r>
  </w:p>
  <w:p w:rsidR="004C4E3F" w:rsidRDefault="004C4E3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A81" w:rsidRDefault="009B6A81">
      <w:r>
        <w:separator/>
      </w:r>
    </w:p>
  </w:footnote>
  <w:footnote w:type="continuationSeparator" w:id="0">
    <w:p w:rsidR="009B6A81" w:rsidRDefault="009B6A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E3F" w:rsidRDefault="00DF5B9E">
    <w:pPr>
      <w:pStyle w:val="a6"/>
    </w:pPr>
    <w:r>
      <w:rPr>
        <w:rFonts w:hint="eastAsia"/>
      </w:rPr>
      <w:t>证券代码：</w:t>
    </w:r>
    <w:r>
      <w:rPr>
        <w:rFonts w:hint="eastAsia"/>
      </w:rPr>
      <w:t xml:space="preserve">002672                              </w:t>
    </w:r>
    <w:r>
      <w:rPr>
        <w:rFonts w:hint="eastAsia"/>
      </w:rPr>
      <w:t>证券简称：东江环保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725"/>
    <w:rsid w:val="00047641"/>
    <w:rsid w:val="00062B86"/>
    <w:rsid w:val="00095BC2"/>
    <w:rsid w:val="000D1725"/>
    <w:rsid w:val="001C595C"/>
    <w:rsid w:val="0021439F"/>
    <w:rsid w:val="00217224"/>
    <w:rsid w:val="00237967"/>
    <w:rsid w:val="003464AA"/>
    <w:rsid w:val="0038397B"/>
    <w:rsid w:val="004101DB"/>
    <w:rsid w:val="00413134"/>
    <w:rsid w:val="004939B1"/>
    <w:rsid w:val="004C4E3F"/>
    <w:rsid w:val="005020C7"/>
    <w:rsid w:val="00535906"/>
    <w:rsid w:val="00652FE6"/>
    <w:rsid w:val="006B0A2A"/>
    <w:rsid w:val="00761F9B"/>
    <w:rsid w:val="007969AD"/>
    <w:rsid w:val="007A26D0"/>
    <w:rsid w:val="007C7804"/>
    <w:rsid w:val="00850BDC"/>
    <w:rsid w:val="00880CC4"/>
    <w:rsid w:val="00946DC1"/>
    <w:rsid w:val="009B6A81"/>
    <w:rsid w:val="00AA645C"/>
    <w:rsid w:val="00B851A8"/>
    <w:rsid w:val="00B86787"/>
    <w:rsid w:val="00BB659C"/>
    <w:rsid w:val="00BF6EB6"/>
    <w:rsid w:val="00C8265E"/>
    <w:rsid w:val="00CF2859"/>
    <w:rsid w:val="00D76DE9"/>
    <w:rsid w:val="00DF5B9E"/>
    <w:rsid w:val="00EB001C"/>
    <w:rsid w:val="00EC32FC"/>
    <w:rsid w:val="00EC3616"/>
    <w:rsid w:val="00EC5625"/>
    <w:rsid w:val="00F20759"/>
    <w:rsid w:val="01291E44"/>
    <w:rsid w:val="09541F72"/>
    <w:rsid w:val="0CFF4AD0"/>
    <w:rsid w:val="2ED146EF"/>
    <w:rsid w:val="4DE8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CC4AD7-9DF5-4733-8B2B-58E1BD76F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uiPriority="99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paragraph" w:customStyle="1" w:styleId="1">
    <w:name w:val="列出段落1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2">
    <w:name w:val="列出段落2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1"/>
    <w:basedOn w:val="a"/>
    <w:qFormat/>
    <w:pPr>
      <w:autoSpaceDE w:val="0"/>
      <w:autoSpaceDN w:val="0"/>
      <w:adjustRightInd w:val="0"/>
      <w:spacing w:before="120" w:after="120" w:line="360" w:lineRule="exact"/>
      <w:ind w:firstLine="357"/>
    </w:pPr>
    <w:rPr>
      <w:rFonts w:ascii="宋体" w:hAnsi="宋体" w:cs="宋体"/>
      <w:kern w:val="0"/>
      <w:sz w:val="18"/>
      <w:szCs w:val="18"/>
      <w:lang w:val="zh-CN"/>
    </w:rPr>
  </w:style>
  <w:style w:type="character" w:customStyle="1" w:styleId="Char1">
    <w:name w:val="页脚 Char"/>
    <w:basedOn w:val="a0"/>
    <w:link w:val="a5"/>
    <w:qFormat/>
    <w:rPr>
      <w:rFonts w:ascii="Times New Roman" w:hAnsi="Times New Roman"/>
      <w:kern w:val="2"/>
      <w:sz w:val="18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/>
      <w:kern w:val="2"/>
      <w:sz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hAnsi="Times New Roman"/>
      <w:kern w:val="2"/>
      <w:sz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Times New Roman" w:hAnsi="Times New Roman"/>
      <w:b/>
      <w:bCs/>
      <w:kern w:val="2"/>
      <w:sz w:val="21"/>
    </w:rPr>
  </w:style>
  <w:style w:type="character" w:customStyle="1" w:styleId="apple-converted-space">
    <w:name w:val="apple-converted-space"/>
    <w:basedOn w:val="a0"/>
    <w:qFormat/>
  </w:style>
  <w:style w:type="character" w:customStyle="1" w:styleId="msoins0">
    <w:name w:val="msoins"/>
    <w:basedOn w:val="a0"/>
    <w:qFormat/>
  </w:style>
  <w:style w:type="character" w:customStyle="1" w:styleId="msodel0">
    <w:name w:val="msodel"/>
    <w:basedOn w:val="a0"/>
    <w:qFormat/>
  </w:style>
  <w:style w:type="paragraph" w:customStyle="1" w:styleId="3">
    <w:name w:val="列出段落3"/>
    <w:basedOn w:val="a"/>
    <w:uiPriority w:val="34"/>
    <w:qFormat/>
    <w:pPr>
      <w:ind w:firstLineChars="200" w:firstLine="420"/>
    </w:pPr>
  </w:style>
  <w:style w:type="character" w:customStyle="1" w:styleId="highlight">
    <w:name w:val="highlight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D5E189-0C55-4B5D-A675-0B2B274E9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270</Words>
  <Characters>1544</Characters>
  <Application>Microsoft Office Word</Application>
  <DocSecurity>0</DocSecurity>
  <Lines>12</Lines>
  <Paragraphs>3</Paragraphs>
  <ScaleCrop>false</ScaleCrop>
  <Company>Lenovo (Beijing) Limited</Company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投资者关系活动记录表</dc:title>
  <dc:creator>未定义</dc:creator>
  <cp:lastModifiedBy>吴昱洁</cp:lastModifiedBy>
  <cp:revision>9</cp:revision>
  <cp:lastPrinted>2020-08-31T02:35:00Z</cp:lastPrinted>
  <dcterms:created xsi:type="dcterms:W3CDTF">2020-09-01T02:23:00Z</dcterms:created>
  <dcterms:modified xsi:type="dcterms:W3CDTF">2020-09-01T11:46:00Z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